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3549A" w:rsidRDefault="0063549A" w:rsidP="0063549A">
      <w:pPr>
        <w:spacing w:after="0" w:line="480" w:lineRule="auto"/>
        <w:rPr>
          <w:rFonts w:ascii="Times New Roman" w:hAnsi="Times New Roman" w:cs="Times New Roman"/>
          <w:sz w:val="24"/>
          <w:szCs w:val="24"/>
        </w:rPr>
      </w:pPr>
    </w:p>
    <w:p w:rsidR="0063549A" w:rsidRDefault="0063549A" w:rsidP="0063549A">
      <w:pPr>
        <w:spacing w:after="0" w:line="480" w:lineRule="auto"/>
        <w:rPr>
          <w:rFonts w:ascii="Times New Roman" w:hAnsi="Times New Roman" w:cs="Times New Roman"/>
          <w:sz w:val="24"/>
          <w:szCs w:val="24"/>
        </w:rPr>
      </w:pPr>
    </w:p>
    <w:p w:rsidR="0063549A" w:rsidRDefault="0063549A" w:rsidP="0063549A">
      <w:pPr>
        <w:spacing w:after="0" w:line="480" w:lineRule="auto"/>
        <w:rPr>
          <w:rFonts w:ascii="Times New Roman" w:hAnsi="Times New Roman" w:cs="Times New Roman"/>
          <w:sz w:val="24"/>
          <w:szCs w:val="24"/>
        </w:rPr>
      </w:pPr>
    </w:p>
    <w:p w:rsidR="0063549A" w:rsidRDefault="0063549A" w:rsidP="0063549A">
      <w:pPr>
        <w:spacing w:after="0" w:line="480" w:lineRule="auto"/>
        <w:rPr>
          <w:rFonts w:ascii="Times New Roman" w:hAnsi="Times New Roman" w:cs="Times New Roman"/>
          <w:sz w:val="24"/>
          <w:szCs w:val="24"/>
        </w:rPr>
      </w:pPr>
    </w:p>
    <w:p w:rsidR="0063549A" w:rsidRDefault="0063549A" w:rsidP="0063549A">
      <w:pPr>
        <w:spacing w:after="0" w:line="480" w:lineRule="auto"/>
        <w:rPr>
          <w:rFonts w:ascii="Times New Roman" w:hAnsi="Times New Roman" w:cs="Times New Roman"/>
          <w:sz w:val="24"/>
          <w:szCs w:val="24"/>
        </w:rPr>
      </w:pPr>
    </w:p>
    <w:p w:rsidR="0047032B" w:rsidRPr="00CE45BF" w:rsidRDefault="00CE45BF" w:rsidP="0063549A">
      <w:pPr>
        <w:spacing w:after="0" w:line="480" w:lineRule="auto"/>
        <w:jc w:val="center"/>
        <w:rPr>
          <w:rFonts w:ascii="Times New Roman" w:hAnsi="Times New Roman" w:cs="Times New Roman"/>
          <w:b/>
          <w:sz w:val="24"/>
          <w:szCs w:val="24"/>
        </w:rPr>
      </w:pPr>
      <w:r w:rsidRPr="00CE45BF">
        <w:rPr>
          <w:rFonts w:ascii="Times New Roman" w:hAnsi="Times New Roman" w:cs="Times New Roman"/>
          <w:b/>
          <w:sz w:val="24"/>
          <w:szCs w:val="24"/>
        </w:rPr>
        <w:t>Smith Tax Report</w:t>
      </w:r>
    </w:p>
    <w:p w:rsidR="0063549A" w:rsidRPr="0063549A" w:rsidRDefault="0063549A" w:rsidP="0063549A">
      <w:pPr>
        <w:spacing w:after="0" w:line="480" w:lineRule="auto"/>
        <w:jc w:val="center"/>
        <w:rPr>
          <w:rFonts w:ascii="Times New Roman" w:hAnsi="Times New Roman" w:cs="Times New Roman"/>
          <w:sz w:val="24"/>
          <w:szCs w:val="24"/>
        </w:rPr>
      </w:pPr>
      <w:r w:rsidRPr="0063549A">
        <w:rPr>
          <w:rFonts w:ascii="Times New Roman" w:hAnsi="Times New Roman" w:cs="Times New Roman"/>
          <w:sz w:val="24"/>
          <w:szCs w:val="24"/>
        </w:rPr>
        <w:t>Student’s name</w:t>
      </w:r>
    </w:p>
    <w:p w:rsidR="0063549A" w:rsidRPr="0063549A" w:rsidRDefault="0063549A" w:rsidP="0063549A">
      <w:pPr>
        <w:spacing w:after="0" w:line="480" w:lineRule="auto"/>
        <w:jc w:val="center"/>
        <w:rPr>
          <w:rFonts w:ascii="Times New Roman" w:hAnsi="Times New Roman" w:cs="Times New Roman"/>
          <w:sz w:val="24"/>
          <w:szCs w:val="24"/>
        </w:rPr>
      </w:pPr>
      <w:r w:rsidRPr="0063549A">
        <w:rPr>
          <w:rFonts w:ascii="Times New Roman" w:hAnsi="Times New Roman" w:cs="Times New Roman"/>
          <w:sz w:val="24"/>
          <w:szCs w:val="24"/>
        </w:rPr>
        <w:t>Institution name</w:t>
      </w:r>
    </w:p>
    <w:p w:rsidR="0063549A" w:rsidRDefault="0063549A" w:rsidP="0063549A">
      <w:pPr>
        <w:spacing w:after="0" w:line="480" w:lineRule="auto"/>
        <w:jc w:val="center"/>
        <w:rPr>
          <w:rFonts w:ascii="Times New Roman" w:hAnsi="Times New Roman" w:cs="Times New Roman"/>
          <w:sz w:val="24"/>
          <w:szCs w:val="24"/>
        </w:rPr>
      </w:pPr>
      <w:r w:rsidRPr="0063549A">
        <w:rPr>
          <w:rFonts w:ascii="Times New Roman" w:hAnsi="Times New Roman" w:cs="Times New Roman"/>
          <w:sz w:val="24"/>
          <w:szCs w:val="24"/>
        </w:rPr>
        <w:t>Date</w:t>
      </w:r>
    </w:p>
    <w:p w:rsidR="0063549A" w:rsidRPr="0063549A" w:rsidRDefault="0063549A" w:rsidP="0063549A">
      <w:pPr>
        <w:jc w:val="center"/>
        <w:rPr>
          <w:rFonts w:ascii="Times New Roman" w:hAnsi="Times New Roman" w:cs="Times New Roman"/>
          <w:sz w:val="24"/>
          <w:szCs w:val="24"/>
        </w:rPr>
      </w:pPr>
      <w:r>
        <w:rPr>
          <w:rFonts w:ascii="Times New Roman" w:hAnsi="Times New Roman" w:cs="Times New Roman"/>
          <w:sz w:val="24"/>
          <w:szCs w:val="24"/>
        </w:rPr>
        <w:br w:type="page"/>
      </w:r>
    </w:p>
    <w:p w:rsidR="00CE45BF" w:rsidRPr="00CE45BF" w:rsidRDefault="00CE45BF" w:rsidP="00CE45BF">
      <w:pPr>
        <w:spacing w:after="0" w:line="480" w:lineRule="auto"/>
        <w:ind w:firstLine="720"/>
        <w:jc w:val="center"/>
        <w:rPr>
          <w:rFonts w:ascii="Times New Roman" w:hAnsi="Times New Roman" w:cs="Times New Roman"/>
          <w:b/>
          <w:sz w:val="24"/>
          <w:szCs w:val="24"/>
        </w:rPr>
      </w:pPr>
      <w:r w:rsidRPr="00CE45BF">
        <w:rPr>
          <w:rFonts w:ascii="Times New Roman" w:hAnsi="Times New Roman" w:cs="Times New Roman"/>
          <w:b/>
          <w:sz w:val="24"/>
          <w:szCs w:val="24"/>
        </w:rPr>
        <w:lastRenderedPageBreak/>
        <w:t>Itemized Deductions Vs Standard Deduction</w:t>
      </w:r>
    </w:p>
    <w:p w:rsidR="0047032B" w:rsidRPr="00013BD0" w:rsidRDefault="0047032B" w:rsidP="00013BD0">
      <w:pPr>
        <w:spacing w:after="0" w:line="480" w:lineRule="auto"/>
        <w:ind w:firstLine="720"/>
        <w:rPr>
          <w:rFonts w:ascii="Times New Roman" w:hAnsi="Times New Roman" w:cs="Times New Roman"/>
          <w:sz w:val="24"/>
          <w:szCs w:val="24"/>
        </w:rPr>
      </w:pPr>
      <w:r w:rsidRPr="00013BD0">
        <w:rPr>
          <w:rFonts w:ascii="Times New Roman" w:hAnsi="Times New Roman" w:cs="Times New Roman"/>
          <w:sz w:val="24"/>
          <w:szCs w:val="24"/>
        </w:rPr>
        <w:t xml:space="preserve">The TCJA killed or confined many ordered conclusions in 2018 through 2025. These, along with a better quality derivation, will decrease the number of citizens who request findings. TPC gauges that in 2018 the portion of all family units that separate shrank to 10 per </w:t>
      </w:r>
      <w:r w:rsidR="00013BD0" w:rsidRPr="00013BD0">
        <w:rPr>
          <w:rFonts w:ascii="Times New Roman" w:hAnsi="Times New Roman" w:cs="Times New Roman"/>
          <w:sz w:val="24"/>
          <w:szCs w:val="24"/>
        </w:rPr>
        <w:t>cent due to the expense update.</w:t>
      </w:r>
    </w:p>
    <w:p w:rsidR="008D2781" w:rsidRDefault="0047032B" w:rsidP="00013BD0">
      <w:pPr>
        <w:spacing w:after="0" w:line="480" w:lineRule="auto"/>
        <w:ind w:firstLine="720"/>
        <w:rPr>
          <w:rFonts w:ascii="Times New Roman" w:hAnsi="Times New Roman" w:cs="Times New Roman"/>
          <w:sz w:val="24"/>
          <w:szCs w:val="24"/>
        </w:rPr>
      </w:pPr>
      <w:r w:rsidRPr="00013BD0">
        <w:rPr>
          <w:rFonts w:ascii="Times New Roman" w:hAnsi="Times New Roman" w:cs="Times New Roman"/>
          <w:sz w:val="24"/>
          <w:szCs w:val="24"/>
        </w:rPr>
        <w:t>TCJA altogether diminished the number of citizens guaranteeing ordered conclusions and the standard duty sparing from asserting them. The accompanying figures contrast the assessed level of citizens and a tax reduction from the three significant ordered reasoning's—state and neighborhood charges, contract intrigue, and altruistic commitments—and the expense sparing from guaranteeing them in 2017 and 2018 when the new law is set up</w:t>
      </w:r>
      <w:r w:rsidR="006F365D" w:rsidRPr="006F365D">
        <w:t xml:space="preserve"> </w:t>
      </w:r>
      <w:r w:rsidR="006F365D" w:rsidRPr="006F365D">
        <w:rPr>
          <w:rFonts w:ascii="Times New Roman" w:hAnsi="Times New Roman" w:cs="Times New Roman"/>
          <w:sz w:val="24"/>
          <w:szCs w:val="24"/>
        </w:rPr>
        <w:t>(New York (State). Department Of Taxation And Finance, 2008)</w:t>
      </w:r>
      <w:r w:rsidRPr="00013BD0">
        <w:rPr>
          <w:rFonts w:ascii="Times New Roman" w:hAnsi="Times New Roman" w:cs="Times New Roman"/>
          <w:sz w:val="24"/>
          <w:szCs w:val="24"/>
        </w:rPr>
        <w:t>. The tax cut is estimated as the decrease in charge risk from the conclusion, representing the appropriate assessment rates in every year. The impacts of the elective least duty (which forbids the SALT reasoning), and as far as possible on separated derivations (the "Pease" furthest reaches) that were set up in 2017 yet wiped out for future years by TCJA.</w:t>
      </w:r>
    </w:p>
    <w:p w:rsidR="00CE45BF" w:rsidRDefault="00CE45BF" w:rsidP="00CE45BF">
      <w:pPr>
        <w:spacing w:after="0" w:line="480" w:lineRule="auto"/>
        <w:jc w:val="center"/>
        <w:rPr>
          <w:rFonts w:ascii="Times New Roman" w:eastAsia="Times New Roman" w:hAnsi="Times New Roman" w:cs="Times New Roman"/>
          <w:b/>
          <w:color w:val="333333"/>
          <w:sz w:val="24"/>
          <w:szCs w:val="24"/>
        </w:rPr>
      </w:pPr>
      <w:r w:rsidRPr="00CE45BF">
        <w:rPr>
          <w:rFonts w:ascii="Times New Roman" w:eastAsia="Times New Roman" w:hAnsi="Times New Roman" w:cs="Times New Roman"/>
          <w:b/>
          <w:color w:val="333333"/>
          <w:sz w:val="24"/>
          <w:szCs w:val="24"/>
        </w:rPr>
        <w:t>Conversion Tax Strategy</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b/>
          <w:color w:val="333333"/>
          <w:sz w:val="24"/>
          <w:szCs w:val="24"/>
        </w:rPr>
        <w:t>1)</w:t>
      </w:r>
      <w:r w:rsidRPr="00977104">
        <w:rPr>
          <w:rFonts w:ascii="Times New Roman" w:eastAsia="Times New Roman" w:hAnsi="Times New Roman" w:cs="Times New Roman"/>
          <w:color w:val="333333"/>
          <w:sz w:val="24"/>
          <w:szCs w:val="24"/>
        </w:rPr>
        <w:t xml:space="preserve"> Conversion tax strategy is a method that mainly employs the use of tax planning in which a person alters his generating sources which are income. It can also include changing the payments deductions so that they can fully make use of the law of tax of the pertinent year.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One thing that comes first before the implementation of conversion is the deduction in the miscellaneous and also medical. This kind of assumptions in a significant way reduces the extent of their increased income, mainly focusing on the converted amount. Like for instance, in a case of expenses in regards to medications that are above a rate of 7.5 per cent of the gross income that is attuned is permitted as a deduction.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lastRenderedPageBreak/>
        <w:t>If your balanced gross pay is 200,000, it is then clear that out of that gross pay what will be deducted will only be the clinical costs over 15,000. These then means that anything below 15,000 for the medical price will not be removed. Assume you expanded your salary to 250,000 clinical costs edge limit above which you spend to guarantee deduction will be as high as 18,750. What’s more, on the off chance that you lessen your pay to 150,000 the clinical costs limit above which you can guarantee derivation, will diminish to 11,250. The above is the way the conversion strategies work.</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Apart from the above strategy, then there will be another conversion strategy which will mainly focus on the plans you take for retirement. Traditional IRA retirement plan that is withdrawn is mainly taxed when it comes to a time of withdrawing; on the other hand, Roth funds withdrawals are mostly considered free from tax. Therefore when it comes to a time of withdrawal, it is clear that the conversion strategy in the retirement plan will, in a significant way, save the taxes.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Professions are not meant to stay constant all the time; there comes a time where they may increase or diminish, and in a scenario where the work is changing and decreasing, it is clear that it will place you in a smaller tax bracket. The best thing to do when it comes to such a scenario is to make a conversion from a traditional IRA to a Roth plan; these will, in return, help a lot in saving the taxes.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If you closely monitor the table above, then it is clear that after-tax 6800 and a municipal bond tax-free 7000 high dividend stocks yields. </w:t>
      </w:r>
    </w:p>
    <w:p w:rsidR="00CE45BF" w:rsidRPr="00977104" w:rsidRDefault="00CE45BF" w:rsidP="00CE45BF">
      <w:pPr>
        <w:spacing w:after="0" w:line="480" w:lineRule="auto"/>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In High Dividend stock, the min utilization of change strategy of contributing 200,000 is utilized, exposing to a 15 per cent charg</w:t>
      </w:r>
      <w:r>
        <w:rPr>
          <w:rFonts w:ascii="Times New Roman" w:eastAsia="Times New Roman" w:hAnsi="Times New Roman" w:cs="Times New Roman"/>
          <w:color w:val="333333"/>
          <w:sz w:val="24"/>
          <w:szCs w:val="24"/>
        </w:rPr>
        <w:t xml:space="preserve">e. </w:t>
      </w:r>
      <w:r w:rsidRPr="00977104">
        <w:rPr>
          <w:rFonts w:ascii="Times New Roman" w:eastAsia="Times New Roman" w:hAnsi="Times New Roman" w:cs="Times New Roman"/>
          <w:color w:val="333333"/>
          <w:sz w:val="24"/>
          <w:szCs w:val="24"/>
        </w:rPr>
        <w:t xml:space="preserve">The Municipal Bond has max utilization of change system by contributing the same 200,000 getting most significant yields of 7,000 and covering no duties. </w:t>
      </w:r>
      <w:r w:rsidRPr="00977104">
        <w:rPr>
          <w:rFonts w:ascii="Times New Roman" w:eastAsia="Times New Roman" w:hAnsi="Times New Roman" w:cs="Times New Roman"/>
          <w:color w:val="333333"/>
          <w:sz w:val="24"/>
          <w:szCs w:val="24"/>
        </w:rPr>
        <w:lastRenderedPageBreak/>
        <w:t>Since tax-exempt bonds. The above strategy is a case of changing over ventures into low duty or nil charge territories and in this manner, amplify charge arranging.</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b/>
          <w:color w:val="333333"/>
          <w:sz w:val="24"/>
          <w:szCs w:val="24"/>
        </w:rPr>
        <w:t>2)</w:t>
      </w:r>
      <w:r w:rsidRPr="00977104">
        <w:rPr>
          <w:rFonts w:ascii="Times New Roman" w:eastAsia="Times New Roman" w:hAnsi="Times New Roman" w:cs="Times New Roman"/>
          <w:color w:val="333333"/>
          <w:sz w:val="24"/>
          <w:szCs w:val="24"/>
        </w:rPr>
        <w:t xml:space="preserve"> Those taxes that are mainly arising out due to the policies of the government on the earned income and businesses is what is primarily termed as the implicit taxes. Like for instance, a specific automobile may be imposed with a green tariff. The government may go ahead and pass regulations which in return may bring about addition in expenditure which is also considered a sort of implicit tax.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A tax rule use is what is termed as implicit tax. The investors take in returns of low percentage and also pay nil taxes or taxes that are low as it is elaborated in the table in question where municipal bonds. Though receiving a pretax return that is low and estimated to be 3.5 per cent, in reality, it gives a post-tax return that is higher because there is nil tax and also the bonds are free. </w:t>
      </w:r>
    </w:p>
    <w:p w:rsidR="00CE45BF" w:rsidRPr="00977104" w:rsidRDefault="00CE45BF" w:rsidP="00CE45BF">
      <w:pPr>
        <w:spacing w:after="0" w:line="480" w:lineRule="auto"/>
        <w:ind w:firstLine="720"/>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The implicit taxes may limit the conversion strategy. Assume an available bond sells for 100, then the tax-exempt bond may sell for 120. The market bond then works in these ways. They mainly concentrate on yields. </w:t>
      </w:r>
    </w:p>
    <w:p w:rsidR="00CE45BF" w:rsidRPr="00977104" w:rsidRDefault="00CE45BF" w:rsidP="00CE45BF">
      <w:pPr>
        <w:spacing w:after="0" w:line="480" w:lineRule="auto"/>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The reason why the focus is on the result a lot is that the cost of the securities is primarily dependent on the yields. Thus, a tax-exempt stake will be valued higher given a similar residency, the same financing cost on bond. This conduct of the free market limits and some of the time kill the impacts of change methodology. </w:t>
      </w:r>
    </w:p>
    <w:p w:rsidR="00CE45BF" w:rsidRPr="00977104" w:rsidRDefault="00CE45BF" w:rsidP="00CE45BF">
      <w:pPr>
        <w:spacing w:after="0" w:line="480" w:lineRule="auto"/>
        <w:rPr>
          <w:rFonts w:ascii="Times New Roman" w:eastAsia="Times New Roman" w:hAnsi="Times New Roman" w:cs="Times New Roman"/>
          <w:color w:val="333333"/>
          <w:sz w:val="24"/>
          <w:szCs w:val="24"/>
        </w:rPr>
      </w:pPr>
      <w:r w:rsidRPr="00977104">
        <w:rPr>
          <w:rFonts w:ascii="Times New Roman" w:eastAsia="Times New Roman" w:hAnsi="Times New Roman" w:cs="Times New Roman"/>
          <w:color w:val="333333"/>
          <w:sz w:val="24"/>
          <w:szCs w:val="24"/>
        </w:rPr>
        <w:t xml:space="preserve">All Government charges, appropriation or value guidelines have a value impact which redistributes the advantages or costs in this manner, restricting the benefits of the Conversion procedure. </w:t>
      </w:r>
    </w:p>
    <w:p w:rsidR="00CE45BF" w:rsidRPr="00CE45BF" w:rsidRDefault="00CE45BF" w:rsidP="00CE45BF">
      <w:pPr>
        <w:spacing w:after="0" w:line="480" w:lineRule="auto"/>
        <w:rPr>
          <w:rFonts w:ascii="Times New Roman" w:eastAsia="Times New Roman" w:hAnsi="Times New Roman" w:cs="Times New Roman"/>
          <w:color w:val="333333"/>
          <w:sz w:val="24"/>
          <w:szCs w:val="24"/>
        </w:rPr>
      </w:pPr>
      <w:r w:rsidRPr="00CE45BF">
        <w:rPr>
          <w:rFonts w:ascii="Times New Roman" w:hAnsi="Times New Roman" w:cs="Times New Roman"/>
          <w:sz w:val="24"/>
          <w:szCs w:val="24"/>
        </w:rPr>
        <w:lastRenderedPageBreak/>
        <w:t>There are some of the time no or little favorable position of purchasing charge favored resources since the market costs ascend to limit the addition, to be acknowledged on demand selected</w:t>
      </w:r>
      <w:r w:rsidRPr="00977104">
        <w:rPr>
          <w:rFonts w:ascii="Times New Roman" w:eastAsia="Times New Roman" w:hAnsi="Times New Roman" w:cs="Times New Roman"/>
          <w:color w:val="333333"/>
          <w:sz w:val="24"/>
          <w:szCs w:val="24"/>
        </w:rPr>
        <w:t xml:space="preserve"> resources.</w:t>
      </w:r>
    </w:p>
    <w:p w:rsidR="00CE45BF" w:rsidRPr="00CE45BF" w:rsidRDefault="00CE45BF" w:rsidP="00CE45BF">
      <w:pPr>
        <w:spacing w:after="0" w:line="480" w:lineRule="auto"/>
        <w:jc w:val="center"/>
        <w:rPr>
          <w:rFonts w:ascii="Times New Roman" w:hAnsi="Times New Roman" w:cs="Times New Roman"/>
          <w:b/>
          <w:sz w:val="24"/>
          <w:szCs w:val="24"/>
        </w:rPr>
      </w:pPr>
      <w:r w:rsidRPr="00CE45BF">
        <w:rPr>
          <w:rFonts w:ascii="Times New Roman" w:hAnsi="Times New Roman" w:cs="Times New Roman"/>
          <w:b/>
          <w:sz w:val="24"/>
          <w:szCs w:val="24"/>
        </w:rPr>
        <w:t>Key Tax Considerations</w:t>
      </w:r>
    </w:p>
    <w:p w:rsidR="00CE45BF" w:rsidRPr="00AE7FDB" w:rsidRDefault="00CE45BF" w:rsidP="00CE45BF">
      <w:pPr>
        <w:spacing w:after="0" w:line="480" w:lineRule="auto"/>
        <w:ind w:firstLine="720"/>
        <w:rPr>
          <w:rFonts w:ascii="Times New Roman" w:hAnsi="Times New Roman" w:cs="Times New Roman"/>
          <w:sz w:val="24"/>
          <w:szCs w:val="24"/>
        </w:rPr>
      </w:pPr>
      <w:r w:rsidRPr="00AE7FDB">
        <w:rPr>
          <w:rFonts w:ascii="Times New Roman" w:hAnsi="Times New Roman" w:cs="Times New Roman"/>
          <w:sz w:val="24"/>
          <w:szCs w:val="24"/>
        </w:rPr>
        <w:t>Most of the vacation homeowners may decide to rent out their properties due to some reasons that may be pulling them into doing that and mostly is to offset the ownership expenses or also they may rent out to generate more income</w:t>
      </w:r>
      <w:r w:rsidRPr="00C86B41">
        <w:t xml:space="preserve"> </w:t>
      </w:r>
      <w:r w:rsidRPr="00C86B41">
        <w:rPr>
          <w:rFonts w:ascii="Times New Roman" w:hAnsi="Times New Roman" w:cs="Times New Roman"/>
          <w:sz w:val="24"/>
          <w:szCs w:val="24"/>
        </w:rPr>
        <w:t>(Al-Shikarchy et al., 2014)</w:t>
      </w:r>
      <w:r w:rsidRPr="00AE7FDB">
        <w:rPr>
          <w:rFonts w:ascii="Times New Roman" w:hAnsi="Times New Roman" w:cs="Times New Roman"/>
          <w:sz w:val="24"/>
          <w:szCs w:val="24"/>
        </w:rPr>
        <w:t>. It is therefore essential for the people to get to know the critical tax considerations before making a step into renting their preferred vacation houses. Some of the tax considerations include;</w:t>
      </w:r>
    </w:p>
    <w:p w:rsidR="00CE45BF" w:rsidRPr="00AE7FDB" w:rsidRDefault="00CE45BF" w:rsidP="00CE45BF">
      <w:pPr>
        <w:spacing w:after="0" w:line="480" w:lineRule="auto"/>
        <w:jc w:val="center"/>
        <w:rPr>
          <w:rFonts w:ascii="Times New Roman" w:hAnsi="Times New Roman" w:cs="Times New Roman"/>
          <w:b/>
          <w:sz w:val="24"/>
          <w:szCs w:val="24"/>
        </w:rPr>
      </w:pPr>
      <w:r w:rsidRPr="00AE7FDB">
        <w:rPr>
          <w:rFonts w:ascii="Times New Roman" w:hAnsi="Times New Roman" w:cs="Times New Roman"/>
          <w:b/>
          <w:sz w:val="24"/>
          <w:szCs w:val="24"/>
        </w:rPr>
        <w:t>The 14-Day or 10% Rule</w:t>
      </w:r>
    </w:p>
    <w:p w:rsidR="00CE45BF" w:rsidRPr="00AE7FDB" w:rsidRDefault="00CE45BF" w:rsidP="00CE45BF">
      <w:pPr>
        <w:spacing w:after="0" w:line="480" w:lineRule="auto"/>
        <w:ind w:firstLine="720"/>
        <w:rPr>
          <w:rFonts w:ascii="Times New Roman" w:hAnsi="Times New Roman" w:cs="Times New Roman"/>
          <w:sz w:val="24"/>
          <w:szCs w:val="24"/>
        </w:rPr>
      </w:pPr>
      <w:r w:rsidRPr="00AE7FDB">
        <w:rPr>
          <w:rFonts w:ascii="Times New Roman" w:hAnsi="Times New Roman" w:cs="Times New Roman"/>
          <w:sz w:val="24"/>
          <w:szCs w:val="24"/>
        </w:rPr>
        <w:t>Mainly depend on several days the property is rented out in a given year; there are benefits in which the owner is entitled to, and this is also brought about by the time the owner spends in the home. If the owner uses the house that is it is not rented out; therefore, the owner needs to deduct taxes related to real estate and also the interest on the home mortgage should be removed.</w:t>
      </w:r>
    </w:p>
    <w:p w:rsidR="00CE45BF" w:rsidRPr="00AE7FDB" w:rsidRDefault="00CE45BF" w:rsidP="00CE45BF">
      <w:pPr>
        <w:spacing w:after="0" w:line="480" w:lineRule="auto"/>
        <w:jc w:val="center"/>
        <w:rPr>
          <w:rFonts w:ascii="Times New Roman" w:hAnsi="Times New Roman" w:cs="Times New Roman"/>
          <w:b/>
          <w:sz w:val="24"/>
          <w:szCs w:val="24"/>
        </w:rPr>
      </w:pPr>
      <w:r w:rsidRPr="00AE7FDB">
        <w:rPr>
          <w:rFonts w:ascii="Times New Roman" w:hAnsi="Times New Roman" w:cs="Times New Roman"/>
          <w:b/>
          <w:sz w:val="24"/>
          <w:szCs w:val="24"/>
        </w:rPr>
        <w:t>Property Rented for 14 days or Less Each Year.</w:t>
      </w:r>
    </w:p>
    <w:p w:rsidR="00CE45BF" w:rsidRDefault="00CE45BF" w:rsidP="00CE45BF">
      <w:pPr>
        <w:spacing w:after="0" w:line="480" w:lineRule="auto"/>
        <w:ind w:firstLine="720"/>
        <w:rPr>
          <w:rFonts w:ascii="Times New Roman" w:hAnsi="Times New Roman" w:cs="Times New Roman"/>
          <w:sz w:val="24"/>
          <w:szCs w:val="24"/>
        </w:rPr>
      </w:pPr>
      <w:r w:rsidRPr="00AE7FDB">
        <w:rPr>
          <w:rFonts w:ascii="Times New Roman" w:hAnsi="Times New Roman" w:cs="Times New Roman"/>
          <w:sz w:val="24"/>
          <w:szCs w:val="24"/>
        </w:rPr>
        <w:t>According to the rules of IRS, it is not a guarantee the owner reports the rental income as long as the rented vacation property is rented for two weeks that is 14 nights in each given year. In a scenario where the house is still taken to be a personal residence, the owner, therefore, has the power of deducting the mortgage interest and also the taxes on property on a schedule A under the standard second home rules. It is also clear that the owners have no right to deducting any expenses as rental expenses.</w:t>
      </w:r>
    </w:p>
    <w:p w:rsidR="00CE45BF" w:rsidRPr="00CE45BF" w:rsidRDefault="00CE45BF" w:rsidP="00CE45BF">
      <w:pPr>
        <w:jc w:val="center"/>
        <w:rPr>
          <w:rFonts w:ascii="Times New Roman" w:hAnsi="Times New Roman" w:cs="Times New Roman"/>
          <w:b/>
          <w:sz w:val="24"/>
          <w:szCs w:val="24"/>
        </w:rPr>
      </w:pPr>
      <w:r>
        <w:rPr>
          <w:rFonts w:ascii="Times New Roman" w:hAnsi="Times New Roman" w:cs="Times New Roman"/>
          <w:sz w:val="24"/>
          <w:szCs w:val="24"/>
        </w:rPr>
        <w:br w:type="page"/>
      </w:r>
      <w:r w:rsidRPr="00CE45BF">
        <w:rPr>
          <w:rFonts w:ascii="Times New Roman" w:hAnsi="Times New Roman" w:cs="Times New Roman"/>
          <w:b/>
          <w:sz w:val="24"/>
          <w:szCs w:val="24"/>
        </w:rPr>
        <w:lastRenderedPageBreak/>
        <w:t>References</w:t>
      </w:r>
    </w:p>
    <w:p w:rsidR="00CE45BF" w:rsidRDefault="00CE45BF" w:rsidP="00CE45BF">
      <w:pPr>
        <w:spacing w:after="0" w:line="480" w:lineRule="auto"/>
        <w:ind w:left="720" w:hanging="720"/>
        <w:rPr>
          <w:rFonts w:ascii="Times New Roman" w:hAnsi="Times New Roman" w:cs="Times New Roman"/>
          <w:sz w:val="24"/>
          <w:szCs w:val="24"/>
        </w:rPr>
      </w:pPr>
      <w:r w:rsidRPr="00B06236">
        <w:rPr>
          <w:rFonts w:ascii="Times New Roman" w:hAnsi="Times New Roman" w:cs="Times New Roman"/>
          <w:sz w:val="24"/>
          <w:szCs w:val="24"/>
        </w:rPr>
        <w:t>Al-Shikarchy, M., Yeung, D., Institute Of Continuing Professional Development, Thomson Reuters, Ontario Bar Association. Continuing Professional Development, &amp; Ontario Bar Association. (2014). Taxation law : key tax planning considerations in your practice. Toronto, Ont.: Ontario Bar Association, Continuing Professional Development.</w:t>
      </w:r>
    </w:p>
    <w:p w:rsidR="008D2781" w:rsidRPr="008D2781" w:rsidRDefault="008D2781" w:rsidP="008D2781">
      <w:pPr>
        <w:spacing w:after="0" w:line="480" w:lineRule="auto"/>
        <w:ind w:left="720" w:hanging="720"/>
        <w:rPr>
          <w:rFonts w:ascii="Times New Roman" w:hAnsi="Times New Roman" w:cs="Times New Roman"/>
          <w:sz w:val="24"/>
          <w:szCs w:val="24"/>
        </w:rPr>
      </w:pPr>
      <w:r w:rsidRPr="008D2781">
        <w:rPr>
          <w:rFonts w:ascii="Times New Roman" w:hAnsi="Times New Roman" w:cs="Times New Roman"/>
          <w:sz w:val="24"/>
          <w:szCs w:val="24"/>
        </w:rPr>
        <w:t>New York (State). Department Of Taxation And Finance. (2008). FAQ’s, New York State college tuition credit and itemized deduction : for tax year 2008. Albany, N.Y.: New York State Dept. Of Taxation And Finance.</w:t>
      </w:r>
    </w:p>
    <w:p w:rsidR="008D2781" w:rsidRPr="008D2781" w:rsidRDefault="008D2781" w:rsidP="008D2781">
      <w:pPr>
        <w:spacing w:after="0" w:line="480" w:lineRule="auto"/>
        <w:ind w:left="720" w:hanging="720"/>
        <w:rPr>
          <w:rFonts w:ascii="Times New Roman" w:hAnsi="Times New Roman" w:cs="Times New Roman"/>
          <w:sz w:val="24"/>
          <w:szCs w:val="24"/>
        </w:rPr>
      </w:pPr>
    </w:p>
    <w:p w:rsidR="008D2781" w:rsidRPr="00013BD0" w:rsidRDefault="008D2781" w:rsidP="008D2781">
      <w:pPr>
        <w:spacing w:after="0" w:line="480" w:lineRule="auto"/>
        <w:rPr>
          <w:rFonts w:ascii="Times New Roman" w:hAnsi="Times New Roman" w:cs="Times New Roman"/>
          <w:sz w:val="24"/>
          <w:szCs w:val="24"/>
        </w:rPr>
      </w:pPr>
      <w:r w:rsidRPr="008D2781">
        <w:rPr>
          <w:rFonts w:ascii="Times New Roman" w:hAnsi="Times New Roman" w:cs="Times New Roman" w:hint="cs"/>
          <w:sz w:val="24"/>
          <w:szCs w:val="24"/>
        </w:rPr>
        <w:t>‌</w:t>
      </w:r>
    </w:p>
    <w:sectPr w:rsidR="008D2781" w:rsidRPr="00013BD0" w:rsidSect="006354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34746" w:rsidRDefault="00634746" w:rsidP="0063549A">
      <w:pPr>
        <w:spacing w:after="0" w:line="240" w:lineRule="auto"/>
      </w:pPr>
      <w:r>
        <w:separator/>
      </w:r>
    </w:p>
  </w:endnote>
  <w:endnote w:type="continuationSeparator" w:id="0">
    <w:p w:rsidR="00634746" w:rsidRDefault="00634746" w:rsidP="0063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34746" w:rsidRDefault="00634746" w:rsidP="0063549A">
      <w:pPr>
        <w:spacing w:after="0" w:line="240" w:lineRule="auto"/>
      </w:pPr>
      <w:r>
        <w:separator/>
      </w:r>
    </w:p>
  </w:footnote>
  <w:footnote w:type="continuationSeparator" w:id="0">
    <w:p w:rsidR="00634746" w:rsidRDefault="00634746" w:rsidP="0063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3549A" w:rsidRPr="00CE45BF" w:rsidRDefault="0063549A">
    <w:pPr>
      <w:pStyle w:val="Header"/>
      <w:rPr>
        <w:rFonts w:ascii="Times New Roman" w:hAnsi="Times New Roman" w:cs="Times New Roman"/>
        <w:sz w:val="24"/>
        <w:szCs w:val="24"/>
      </w:rPr>
    </w:pPr>
    <w:r>
      <w:tab/>
    </w:r>
    <w:r>
      <w:tab/>
    </w:r>
    <w:r w:rsidRPr="00CE45BF">
      <w:rPr>
        <w:rFonts w:ascii="Times New Roman" w:hAnsi="Times New Roman" w:cs="Times New Roman"/>
        <w:sz w:val="24"/>
        <w:szCs w:val="24"/>
      </w:rPr>
      <w:fldChar w:fldCharType="begin"/>
    </w:r>
    <w:r w:rsidRPr="00CE45BF">
      <w:rPr>
        <w:rFonts w:ascii="Times New Roman" w:hAnsi="Times New Roman" w:cs="Times New Roman"/>
        <w:sz w:val="24"/>
        <w:szCs w:val="24"/>
      </w:rPr>
      <w:instrText xml:space="preserve"> PAGE   \* MERGEFORMAT </w:instrText>
    </w:r>
    <w:r w:rsidRPr="00CE45BF">
      <w:rPr>
        <w:rFonts w:ascii="Times New Roman" w:hAnsi="Times New Roman" w:cs="Times New Roman"/>
        <w:sz w:val="24"/>
        <w:szCs w:val="24"/>
      </w:rPr>
      <w:fldChar w:fldCharType="separate"/>
    </w:r>
    <w:r w:rsidR="006F365D" w:rsidRPr="00CE45BF">
      <w:rPr>
        <w:rFonts w:ascii="Times New Roman" w:hAnsi="Times New Roman" w:cs="Times New Roman"/>
        <w:noProof/>
        <w:sz w:val="24"/>
        <w:szCs w:val="24"/>
      </w:rPr>
      <w:t>3</w:t>
    </w:r>
    <w:r w:rsidRPr="00CE45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3549A" w:rsidRPr="0063549A" w:rsidRDefault="00CE45BF">
    <w:pPr>
      <w:pStyle w:val="Header"/>
      <w:rPr>
        <w:rFonts w:ascii="Times New Roman" w:hAnsi="Times New Roman" w:cs="Times New Roman"/>
        <w:sz w:val="24"/>
        <w:szCs w:val="24"/>
      </w:rPr>
    </w:pPr>
    <w:r>
      <w:rPr>
        <w:rFonts w:ascii="Times New Roman" w:hAnsi="Times New Roman" w:cs="Times New Roman"/>
        <w:sz w:val="24"/>
        <w:szCs w:val="24"/>
      </w:rPr>
      <w:tab/>
    </w:r>
    <w:r w:rsidR="0063549A">
      <w:rPr>
        <w:rFonts w:ascii="Times New Roman" w:hAnsi="Times New Roman" w:cs="Times New Roman"/>
        <w:sz w:val="24"/>
        <w:szCs w:val="24"/>
      </w:rPr>
      <w:tab/>
    </w:r>
    <w:r w:rsidR="0063549A" w:rsidRPr="0063549A">
      <w:rPr>
        <w:rFonts w:ascii="Times New Roman" w:hAnsi="Times New Roman" w:cs="Times New Roman"/>
        <w:sz w:val="24"/>
        <w:szCs w:val="24"/>
      </w:rPr>
      <w:fldChar w:fldCharType="begin"/>
    </w:r>
    <w:r w:rsidR="0063549A" w:rsidRPr="0063549A">
      <w:rPr>
        <w:rFonts w:ascii="Times New Roman" w:hAnsi="Times New Roman" w:cs="Times New Roman"/>
        <w:sz w:val="24"/>
        <w:szCs w:val="24"/>
      </w:rPr>
      <w:instrText xml:space="preserve"> PAGE   \* MERGEFORMAT </w:instrText>
    </w:r>
    <w:r w:rsidR="0063549A" w:rsidRPr="0063549A">
      <w:rPr>
        <w:rFonts w:ascii="Times New Roman" w:hAnsi="Times New Roman" w:cs="Times New Roman"/>
        <w:sz w:val="24"/>
        <w:szCs w:val="24"/>
      </w:rPr>
      <w:fldChar w:fldCharType="separate"/>
    </w:r>
    <w:r w:rsidR="006F365D">
      <w:rPr>
        <w:rFonts w:ascii="Times New Roman" w:hAnsi="Times New Roman" w:cs="Times New Roman"/>
        <w:noProof/>
        <w:sz w:val="24"/>
        <w:szCs w:val="24"/>
      </w:rPr>
      <w:t>1</w:t>
    </w:r>
    <w:r w:rsidR="0063549A" w:rsidRPr="006354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B25"/>
    <w:rsid w:val="00013BD0"/>
    <w:rsid w:val="000A49F4"/>
    <w:rsid w:val="0010234B"/>
    <w:rsid w:val="0047032B"/>
    <w:rsid w:val="004E3399"/>
    <w:rsid w:val="00566D7D"/>
    <w:rsid w:val="00634746"/>
    <w:rsid w:val="0063549A"/>
    <w:rsid w:val="00660E91"/>
    <w:rsid w:val="006F365D"/>
    <w:rsid w:val="008D2781"/>
    <w:rsid w:val="00A56E14"/>
    <w:rsid w:val="00BA5F8A"/>
    <w:rsid w:val="00CE45BF"/>
    <w:rsid w:val="00D34B25"/>
    <w:rsid w:val="00D52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5F9CC-4DC9-4E2B-AFA5-5F794E794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9A"/>
  </w:style>
  <w:style w:type="paragraph" w:styleId="Footer">
    <w:name w:val="footer"/>
    <w:basedOn w:val="Normal"/>
    <w:link w:val="FooterChar"/>
    <w:uiPriority w:val="99"/>
    <w:unhideWhenUsed/>
    <w:rsid w:val="00635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2020-08-30T13:53:00Z</dcterms:created>
  <dcterms:modified xsi:type="dcterms:W3CDTF">2020-08-30T13:53:00Z</dcterms:modified>
</cp:coreProperties>
</file>